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光纤收发器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bookmarkStart w:id="0" w:name="_GoBack"/>
      <w:r>
        <w:rPr>
          <w:rFonts w:hint="eastAsia"/>
        </w:rPr>
        <w:t>该光纤交换机具有1个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光口和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bookmarkEnd w:id="0"/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3863975" cy="2700020"/>
            <wp:effectExtent l="0" t="0" r="317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97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2个10/100/1000Base-T网口，1个1000Base-X SC光口；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拥有齐全的光电口连接、传输指示灯，便于设备安装维护；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采用金属外壳、外置电源设计，散热优良，保证产品长时间稳定运行。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芯片方案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瑞昱RTL8363SC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4.467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DC 5-12V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1000M指示灯：黄色；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亮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drawing>
          <wp:inline distT="0" distB="0" distL="114300" distR="114300">
            <wp:extent cx="3333750" cy="3333750"/>
            <wp:effectExtent l="0" t="0" r="0" b="0"/>
            <wp:docPr id="5" name="图片 3" descr="C:\Users\Administrator\Desktop\千兆1光2.jpg千兆1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\Users\Administrator\Desktop\千兆1光2.jpg千兆1光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306060" cy="3743960"/>
            <wp:effectExtent l="0" t="0" r="889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1光2电光纤收发器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48C66D3"/>
    <w:rsid w:val="05F35D1C"/>
    <w:rsid w:val="078476A9"/>
    <w:rsid w:val="0B5F6E0F"/>
    <w:rsid w:val="0E882705"/>
    <w:rsid w:val="13541500"/>
    <w:rsid w:val="17A96006"/>
    <w:rsid w:val="1DD060BA"/>
    <w:rsid w:val="21E248EC"/>
    <w:rsid w:val="256671E1"/>
    <w:rsid w:val="27826BBE"/>
    <w:rsid w:val="2E284C90"/>
    <w:rsid w:val="35EF701D"/>
    <w:rsid w:val="395075DF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DC57986"/>
    <w:rsid w:val="4FAD303C"/>
    <w:rsid w:val="52E001FC"/>
    <w:rsid w:val="56815ACA"/>
    <w:rsid w:val="5B8F7538"/>
    <w:rsid w:val="62492C46"/>
    <w:rsid w:val="62520709"/>
    <w:rsid w:val="6E284DD3"/>
    <w:rsid w:val="76421EB8"/>
    <w:rsid w:val="7A565758"/>
    <w:rsid w:val="7D8F7D61"/>
    <w:rsid w:val="7FE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